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4E43587D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D16BC3">
        <w:rPr>
          <w:rFonts w:ascii="Tahoma" w:hAnsi="Tahoma" w:cs="Tahoma"/>
          <w:b/>
          <w:color w:val="0000CC"/>
          <w:sz w:val="18"/>
          <w:szCs w:val="18"/>
        </w:rPr>
        <w:t>24</w:t>
      </w:r>
      <w:bookmarkStart w:id="0" w:name="_GoBack"/>
      <w:bookmarkEnd w:id="0"/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761DDBF5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56159F">
        <w:rPr>
          <w:rFonts w:ascii="Tahoma" w:hAnsi="Tahoma" w:cs="Tahoma"/>
          <w:sz w:val="18"/>
          <w:szCs w:val="18"/>
        </w:rPr>
        <w:t>24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6B77C4">
        <w:rPr>
          <w:rFonts w:ascii="Tahoma" w:hAnsi="Tahoma" w:cs="Tahoma"/>
          <w:sz w:val="18"/>
          <w:szCs w:val="18"/>
        </w:rPr>
        <w:t>февраль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6989309B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DB4F28">
        <w:rPr>
          <w:rFonts w:ascii="Tahoma" w:hAnsi="Tahoma" w:cs="Tahoma"/>
          <w:b/>
          <w:sz w:val="18"/>
          <w:szCs w:val="18"/>
        </w:rPr>
        <w:t>услуги изготовления полиграфической продукции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32348CC4" w:rsidR="00E11396" w:rsidRPr="0088701D" w:rsidRDefault="0056159F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</w:t>
            </w:r>
            <w:r w:rsidR="0029489B">
              <w:rPr>
                <w:rFonts w:ascii="Tahoma" w:hAnsi="Tahoma" w:cs="Tahoma"/>
                <w:b/>
                <w:sz w:val="18"/>
                <w:szCs w:val="18"/>
              </w:rPr>
              <w:t>.03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4C5020D4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6159F">
              <w:rPr>
                <w:rFonts w:ascii="Tahoma" w:hAnsi="Tahoma" w:cs="Tahoma"/>
                <w:b/>
                <w:sz w:val="18"/>
                <w:szCs w:val="18"/>
              </w:rPr>
              <w:t>03</w:t>
            </w:r>
            <w:r w:rsidR="0029489B">
              <w:rPr>
                <w:rFonts w:ascii="Tahoma" w:hAnsi="Tahoma" w:cs="Tahoma"/>
                <w:b/>
                <w:sz w:val="18"/>
                <w:szCs w:val="18"/>
              </w:rPr>
              <w:t>.03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1928005A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56159F">
              <w:rPr>
                <w:rFonts w:ascii="Tahoma" w:hAnsi="Tahoma" w:cs="Tahoma"/>
                <w:b/>
                <w:i/>
                <w:sz w:val="18"/>
                <w:szCs w:val="18"/>
              </w:rPr>
              <w:t>03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29489B">
              <w:rPr>
                <w:rFonts w:ascii="Tahoma" w:hAnsi="Tahoma" w:cs="Tahoma"/>
                <w:b/>
                <w:i/>
                <w:sz w:val="18"/>
                <w:szCs w:val="18"/>
              </w:rPr>
              <w:t>03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908E4C5" w14:textId="153D441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A6AF19C" w14:textId="23C3EF26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EBA59DA" w14:textId="3E15B9E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289346C" w14:textId="44ACEFD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97A1ECA" w14:textId="4A97465D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8733C92" w14:textId="7BA1C6B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0851C143" w14:textId="64C3795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A135C65" w14:textId="03E29842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6F7D5E6" w14:textId="1C341A9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15ED4F01" w14:textId="77777777" w:rsidR="00445C0B" w:rsidRPr="00A618E7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075"/>
        <w:gridCol w:w="1849"/>
        <w:gridCol w:w="1827"/>
        <w:gridCol w:w="2012"/>
        <w:gridCol w:w="1827"/>
      </w:tblGrid>
      <w:tr w:rsidR="001C58A8" w:rsidRPr="0088701D" w14:paraId="13CD892F" w14:textId="77777777" w:rsidTr="00E6084B">
        <w:trPr>
          <w:trHeight w:val="413"/>
        </w:trPr>
        <w:tc>
          <w:tcPr>
            <w:tcW w:w="2075" w:type="dxa"/>
          </w:tcPr>
          <w:p w14:paraId="246AD4F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Ответственное подразделение</w:t>
            </w:r>
          </w:p>
          <w:p w14:paraId="317826B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14:paraId="6971723F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038D73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</w:tcPr>
          <w:p w14:paraId="5FA459C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F140A9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2012" w:type="dxa"/>
          </w:tcPr>
          <w:p w14:paraId="7EE8308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99AE4A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Подпись</w:t>
            </w:r>
          </w:p>
        </w:tc>
        <w:tc>
          <w:tcPr>
            <w:tcW w:w="1827" w:type="dxa"/>
          </w:tcPr>
          <w:p w14:paraId="1EC0163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A21F55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</w:tr>
      <w:tr w:rsidR="001C58A8" w:rsidRPr="0088701D" w14:paraId="530ABB40" w14:textId="77777777" w:rsidTr="00E6084B">
        <w:trPr>
          <w:trHeight w:val="528"/>
        </w:trPr>
        <w:tc>
          <w:tcPr>
            <w:tcW w:w="2075" w:type="dxa"/>
          </w:tcPr>
          <w:p w14:paraId="4F14989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Дирекция по безопасности</w:t>
            </w:r>
          </w:p>
        </w:tc>
        <w:tc>
          <w:tcPr>
            <w:tcW w:w="1849" w:type="dxa"/>
          </w:tcPr>
          <w:p w14:paraId="642F458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1827" w:type="dxa"/>
          </w:tcPr>
          <w:p w14:paraId="048C2ADC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Асанбаев И.М.</w:t>
            </w:r>
          </w:p>
        </w:tc>
        <w:tc>
          <w:tcPr>
            <w:tcW w:w="2012" w:type="dxa"/>
          </w:tcPr>
          <w:p w14:paraId="1054FE56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7ADD68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8A8" w:rsidRPr="0088701D" w14:paraId="403AFFE2" w14:textId="77777777" w:rsidTr="00E6084B">
        <w:trPr>
          <w:trHeight w:val="528"/>
        </w:trPr>
        <w:tc>
          <w:tcPr>
            <w:tcW w:w="2075" w:type="dxa"/>
          </w:tcPr>
          <w:p w14:paraId="5DBE5C6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Отдел внутренней безопасности</w:t>
            </w:r>
          </w:p>
        </w:tc>
        <w:tc>
          <w:tcPr>
            <w:tcW w:w="1849" w:type="dxa"/>
          </w:tcPr>
          <w:p w14:paraId="6AEC4A5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Специалист по мониторингу процесса закупок</w:t>
            </w:r>
          </w:p>
        </w:tc>
        <w:tc>
          <w:tcPr>
            <w:tcW w:w="1827" w:type="dxa"/>
          </w:tcPr>
          <w:p w14:paraId="05EDB54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Мамасалиев М.А.</w:t>
            </w:r>
          </w:p>
        </w:tc>
        <w:tc>
          <w:tcPr>
            <w:tcW w:w="2012" w:type="dxa"/>
          </w:tcPr>
          <w:p w14:paraId="0B50BA1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300C96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2341E" w14:textId="77777777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DAE631E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1D6DEF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</w:p>
    <w:p w14:paraId="30FDF9A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18C4C1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90C4D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A918A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EE9CBA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AE9F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D7403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B70A8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5085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B3CA8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C1DF45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A1C19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931A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5B60D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01F35E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516EF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E8958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7E58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9D578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A071E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DB46E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1D9FB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48741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3794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B7864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4BBA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0EE00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DCF0B6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58AA8C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6432A32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C87B2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1A4D88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15A6E7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721BE2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B447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51755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E47222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EF18D37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3E514719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4A163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0F5B61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665D6F8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DDA6B0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6D955A3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9CC1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A3550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CF5EEB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6EBFF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5739F4AA" w:rsidR="009261AE" w:rsidRDefault="00522F83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По Лоту №1 н</w:t>
            </w:r>
            <w:r w:rsidR="00651075">
              <w:rPr>
                <w:rFonts w:ascii="Tahoma" w:hAnsi="Tahoma" w:cs="Tahoma"/>
                <w:sz w:val="20"/>
                <w:szCs w:val="18"/>
              </w:rPr>
              <w:t xml:space="preserve">е более </w:t>
            </w:r>
            <w:r>
              <w:rPr>
                <w:rFonts w:ascii="Tahoma" w:hAnsi="Tahoma" w:cs="Tahoma"/>
                <w:sz w:val="20"/>
                <w:szCs w:val="18"/>
              </w:rPr>
              <w:t>10</w:t>
            </w:r>
            <w:r w:rsidR="002661B0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9847C7">
              <w:rPr>
                <w:rFonts w:ascii="Tahoma" w:hAnsi="Tahoma" w:cs="Tahoma"/>
                <w:sz w:val="20"/>
                <w:szCs w:val="18"/>
              </w:rPr>
              <w:t>календарных дней</w:t>
            </w:r>
            <w:r>
              <w:rPr>
                <w:rFonts w:ascii="Tahoma" w:hAnsi="Tahoma" w:cs="Tahoma"/>
                <w:sz w:val="20"/>
                <w:szCs w:val="18"/>
              </w:rPr>
              <w:t>. По Лоту №2</w:t>
            </w:r>
            <w:r w:rsidR="009847C7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 xml:space="preserve">не более 5 календарных дней. По Лоту №3 не более 5 календарных дней </w:t>
            </w:r>
            <w:r w:rsidR="009847C7">
              <w:rPr>
                <w:rFonts w:ascii="Tahoma" w:hAnsi="Tahoma" w:cs="Tahoma"/>
                <w:sz w:val="20"/>
                <w:szCs w:val="18"/>
              </w:rPr>
              <w:t>с момента утверждения дизайн макета</w:t>
            </w:r>
            <w:r w:rsidR="00D369A6">
              <w:rPr>
                <w:rFonts w:ascii="Tahoma" w:hAnsi="Tahoma" w:cs="Tahoma"/>
                <w:sz w:val="20"/>
                <w:szCs w:val="18"/>
              </w:rPr>
              <w:t>.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0AF887AA" w:rsidR="00D63475" w:rsidRDefault="004E7517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Не менее 3</w:t>
            </w:r>
            <w:r w:rsidR="00F337DF" w:rsidRPr="00A95D0B">
              <w:rPr>
                <w:rFonts w:ascii="Tahoma" w:hAnsi="Tahoma" w:cs="Tahoma"/>
                <w:iCs/>
                <w:sz w:val="19"/>
                <w:szCs w:val="19"/>
              </w:rPr>
              <w:t xml:space="preserve"> месяцев 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со дня </w:t>
            </w:r>
            <w:r w:rsidR="00F337DF" w:rsidRPr="00A95D0B">
              <w:rPr>
                <w:rFonts w:ascii="Tahoma" w:hAnsi="Tahoma" w:cs="Tahoma"/>
                <w:iCs/>
                <w:sz w:val="19"/>
                <w:szCs w:val="19"/>
              </w:rPr>
              <w:t>подписания сторонами Акта приема-передачи.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0772B61F" w:rsidR="00E1331B" w:rsidRPr="00CF089A" w:rsidRDefault="00E55524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 №1. 5250000</w:t>
            </w:r>
            <w:r w:rsidR="00A74F47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сом</w:t>
            </w:r>
            <w:r w:rsidR="00A457A0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  <w:r w:rsidR="00ED386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Лот №2. 1134000 сом. Лот №3. 300000</w:t>
            </w: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сом.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6DE3275F" w:rsidR="0057564D" w:rsidRDefault="0057564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900"/>
        <w:gridCol w:w="1380"/>
        <w:gridCol w:w="1540"/>
        <w:gridCol w:w="1540"/>
      </w:tblGrid>
      <w:tr w:rsidR="00C11C1E" w:rsidRPr="00C11C1E" w14:paraId="7003FC00" w14:textId="77777777" w:rsidTr="00C11C1E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6C36" w14:textId="71DF38E1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Техническое задание на закуп полиграфической продук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ии  </w:t>
            </w:r>
          </w:p>
        </w:tc>
      </w:tr>
      <w:tr w:rsidR="00C11C1E" w:rsidRPr="00C11C1E" w14:paraId="1C16187A" w14:textId="77777777" w:rsidTr="00C11C1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8887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F0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0C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276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1E" w:rsidRPr="00C11C1E" w14:paraId="0650525F" w14:textId="77777777" w:rsidTr="00C11C1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D178" w14:textId="77777777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791" w14:textId="77777777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0C1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EE2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1E" w:rsidRPr="00C11C1E" w14:paraId="1E5C8BA0" w14:textId="77777777" w:rsidTr="00C11C1E">
        <w:trPr>
          <w:trHeight w:val="51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4B7D0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Наименование  и подробное описание товаров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C9455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Кол-во, штук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35EB0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 тиражей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46FA9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тираж </w:t>
            </w:r>
          </w:p>
        </w:tc>
      </w:tr>
      <w:tr w:rsidR="00C11C1E" w:rsidRPr="00C11C1E" w14:paraId="4F4B4DB3" w14:textId="77777777" w:rsidTr="00C11C1E">
        <w:trPr>
          <w:trHeight w:val="3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3BE2" w14:textId="77777777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Упаковка для сим-карт </w:t>
            </w: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Формат:  100 мм*140 мм в готовом виде, в развороте 100*280 мм</w:t>
            </w: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Бумага: Мелованная глянцевая 300г. Односторонний + глянцевая </w:t>
            </w:r>
            <w:proofErr w:type="spellStart"/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+ выборочный лак+ тиснение логотип</w:t>
            </w: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Печать: 4+0</w:t>
            </w: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Дополнительно: Склейка (скотч), вырубка, сборка, перфорация  </w:t>
            </w: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Срок поставки: 10 календарных дней со дня утверждения эскиз-макета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473C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57C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3F9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C11C1E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500 000</w:t>
            </w:r>
          </w:p>
        </w:tc>
      </w:tr>
    </w:tbl>
    <w:p w14:paraId="1BB09F09" w14:textId="6C89D5B2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0DBDD813" w14:textId="340D00CC" w:rsidR="00E92F55" w:rsidRDefault="00E92F55" w:rsidP="005C667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100"/>
              <w:gridCol w:w="1318"/>
            </w:tblGrid>
            <w:tr w:rsidR="006117B3" w:rsidRPr="006117B3" w14:paraId="7D5F02C7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F1C56" w14:textId="50A4ECAA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Техническое задание на закуп полиграфической продук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</w:t>
                  </w: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ии  </w:t>
                  </w:r>
                </w:p>
              </w:tc>
            </w:tr>
            <w:tr w:rsidR="006117B3" w:rsidRPr="006117B3" w14:paraId="5B9CAD75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73B0C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6117B3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Лот №2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5C0EE1A8" w14:textId="77777777" w:rsidTr="006117B3">
              <w:trPr>
                <w:trHeight w:val="51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A545339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0098003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Подробное описание товаров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7809F73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Кол-во, штук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C71C6A2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 тиражей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3DE23C3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Общий тираж </w:t>
                  </w:r>
                </w:p>
              </w:tc>
            </w:tr>
            <w:tr w:rsidR="006117B3" w:rsidRPr="006117B3" w14:paraId="76784BA9" w14:textId="77777777" w:rsidTr="006117B3">
              <w:trPr>
                <w:trHeight w:val="2805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3C080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6117B3">
                    <w:rPr>
                      <w:rFonts w:eastAsia="Times New Roman" w:cs="Calibri"/>
                      <w:color w:val="000000"/>
                      <w:lang w:eastAsia="ru-RU"/>
                    </w:rPr>
                    <w:t xml:space="preserve">Высокоточная печать на </w:t>
                  </w:r>
                  <w:proofErr w:type="spellStart"/>
                  <w:r w:rsidRPr="006117B3">
                    <w:rPr>
                      <w:rFonts w:eastAsia="Times New Roman" w:cs="Calibri"/>
                      <w:color w:val="000000"/>
                      <w:lang w:eastAsia="ru-RU"/>
                    </w:rPr>
                    <w:t>самоклейщейся</w:t>
                  </w:r>
                  <w:proofErr w:type="spellEnd"/>
                  <w:r w:rsidRPr="006117B3">
                    <w:rPr>
                      <w:rFonts w:eastAsia="Times New Roman" w:cs="Calibri"/>
                      <w:color w:val="000000"/>
                      <w:lang w:eastAsia="ru-RU"/>
                    </w:rPr>
                    <w:t xml:space="preserve"> матрице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CB981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 xml:space="preserve">Бумага </w:t>
                  </w:r>
                  <w:proofErr w:type="spellStart"/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самоклейка</w:t>
                  </w:r>
                  <w:proofErr w:type="spellEnd"/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: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Формат А4;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Размер ячеек 85*55 мм - 10 шт. на листе (высечка на печатной стороне на каждой ячейке);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Высокоточная полноцветная печать на одной стороне;                                                                         Цветопередача готовых материалов должна соответствовать исходным макетам Заказчика;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Срок поставки: 5 календарных дней с момента утверждения дизайн макета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55CE3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5 000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92DD4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01527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100 000</w:t>
                  </w:r>
                </w:p>
              </w:tc>
            </w:tr>
          </w:tbl>
          <w:p w14:paraId="38011730" w14:textId="04E82CBB" w:rsidR="00E92F55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A08A719" w14:textId="34437216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7C8B43" w14:textId="4A6D523E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F8FD1F" w14:textId="7C460579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4CFCD4" w14:textId="20AFE9DA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1130"/>
              <w:gridCol w:w="950"/>
              <w:gridCol w:w="1318"/>
            </w:tblGrid>
            <w:tr w:rsidR="006117B3" w:rsidRPr="006117B3" w14:paraId="01B66784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00AD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CE552" w14:textId="3D2B928B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Техническое задание на закуп полиграфической продук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</w:t>
                  </w: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ии  </w:t>
                  </w:r>
                </w:p>
              </w:tc>
            </w:tr>
            <w:tr w:rsidR="006117B3" w:rsidRPr="006117B3" w14:paraId="2460B433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DD5A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E9F89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31EB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EF6A0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83A4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4ACFA72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DCC6A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6117B3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Лот №3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C7C7B7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57CB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4C0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77053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5A94A32E" w14:textId="77777777" w:rsidTr="006117B3">
              <w:trPr>
                <w:trHeight w:val="510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B10962B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4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65DD6A6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Подробное описание товаров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006EDB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Кол-во, штук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0A98526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 тиражей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265E87C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Общий тираж </w:t>
                  </w:r>
                </w:p>
              </w:tc>
            </w:tr>
            <w:tr w:rsidR="006117B3" w:rsidRPr="006117B3" w14:paraId="4E8EEBCA" w14:textId="77777777" w:rsidTr="006117B3">
              <w:trPr>
                <w:trHeight w:val="1785"/>
              </w:trPr>
              <w:tc>
                <w:tcPr>
                  <w:tcW w:w="1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4F627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6117B3">
                    <w:rPr>
                      <w:rFonts w:eastAsia="Times New Roman" w:cs="Calibri"/>
                      <w:color w:val="000000"/>
                      <w:lang w:eastAsia="ru-RU"/>
                    </w:rPr>
                    <w:t>Бланки для пополнения баланса</w:t>
                  </w: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3F2D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Бланки для пополнения баланса:                                       Бумага 80 гр., размер 78*36 мм.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Полноцветная печать на одной стороне;                                                                         Цветопередача готовых материалов должна соответствовать исходным макетам Заказчика;</w:t>
                  </w: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Срок поставки: 5 календарных дней со дня утверждения технического задания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8C0B5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1 500 000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5B0FA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33CC2" w14:textId="77777777" w:rsidR="006117B3" w:rsidRPr="006117B3" w:rsidRDefault="006117B3" w:rsidP="006117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117B3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3 000 000</w:t>
                  </w:r>
                </w:p>
              </w:tc>
            </w:tr>
          </w:tbl>
          <w:p w14:paraId="17AB1522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4ED693" w14:textId="76B1B7B5" w:rsidR="00E92F55" w:rsidRDefault="00E92F55" w:rsidP="005C667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0D5D0F" w14:textId="466FE373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75929C" w14:textId="20528975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701643" w14:textId="0967DEF1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E0668A" w14:textId="391DC94A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BFE670" w14:textId="48A1C6D2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55550A" w14:textId="68BE5DD2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2237E6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6CCA46DC" w:rsidR="00D51E53" w:rsidRPr="00EE1D04" w:rsidRDefault="00D51E5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38AA4FA1" w14:textId="77777777" w:rsidR="00E92F55" w:rsidRDefault="0024098C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</w:t>
      </w:r>
    </w:p>
    <w:p w14:paraId="37FB0A3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51FE948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F9F17CF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25C2FED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617C115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260686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781C0CF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A93307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1853CA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465C25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02687A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27403104" w:rsidR="00720E8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  Приложение №3</w:t>
      </w:r>
    </w:p>
    <w:p w14:paraId="09686216" w14:textId="77777777" w:rsidR="00CD54AC" w:rsidRDefault="00CD54AC" w:rsidP="00CD54AC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25B5720" w14:textId="0F09ED6B" w:rsidR="003D5861" w:rsidRDefault="003D5861" w:rsidP="00F91B67">
      <w:pPr>
        <w:tabs>
          <w:tab w:val="left" w:pos="4395"/>
        </w:tabs>
        <w:spacing w:after="0"/>
        <w:rPr>
          <w:rFonts w:ascii="Tahoma" w:hAnsi="Tahoma" w:cs="Tahoma"/>
          <w:b/>
          <w:sz w:val="19"/>
          <w:szCs w:val="19"/>
        </w:rPr>
      </w:pPr>
    </w:p>
    <w:p w14:paraId="5847DB6F" w14:textId="77777777" w:rsidR="005F208D" w:rsidRDefault="005F208D" w:rsidP="005F208D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737EB5C7" w14:textId="77777777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 w:rsidRPr="006935B2">
        <w:rPr>
          <w:rFonts w:ascii="Tahoma" w:hAnsi="Tahoma" w:cs="Tahoma"/>
          <w:color w:val="0000CC"/>
          <w:sz w:val="20"/>
          <w:szCs w:val="20"/>
        </w:rPr>
        <w:t>НДС</w:t>
      </w:r>
      <w:r>
        <w:rPr>
          <w:rFonts w:ascii="Tahoma" w:hAnsi="Tahoma" w:cs="Tahoma"/>
          <w:color w:val="0000CC"/>
          <w:sz w:val="20"/>
          <w:szCs w:val="20"/>
        </w:rPr>
        <w:t xml:space="preserve"> 12% и </w:t>
      </w:r>
      <w:proofErr w:type="spellStart"/>
      <w:r>
        <w:rPr>
          <w:rFonts w:ascii="Tahoma" w:hAnsi="Tahoma" w:cs="Tahoma"/>
          <w:color w:val="0000CC"/>
          <w:sz w:val="20"/>
          <w:szCs w:val="20"/>
        </w:rPr>
        <w:t>НсП</w:t>
      </w:r>
      <w:proofErr w:type="spellEnd"/>
      <w:r>
        <w:rPr>
          <w:rFonts w:ascii="Tahoma" w:hAnsi="Tahoma" w:cs="Tahoma"/>
          <w:color w:val="0000CC"/>
          <w:sz w:val="20"/>
          <w:szCs w:val="20"/>
        </w:rPr>
        <w:t xml:space="preserve"> 0%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lastRenderedPageBreak/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3B4E80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183252" w:rsidRDefault="00183252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183252" w:rsidRDefault="00183252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183252" w:rsidRDefault="0018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3DB2EC1B" w:rsidR="00183252" w:rsidRDefault="00183252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6BC3">
      <w:rPr>
        <w:noProof/>
      </w:rPr>
      <w:t>14</w:t>
    </w:r>
    <w:r>
      <w:rPr>
        <w:noProof/>
      </w:rPr>
      <w:fldChar w:fldCharType="end"/>
    </w:r>
  </w:p>
  <w:p w14:paraId="12B4584D" w14:textId="77777777" w:rsidR="00183252" w:rsidRDefault="001832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183252" w:rsidRDefault="00183252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183252" w:rsidRDefault="00183252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183252" w:rsidRDefault="00183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8E0F-F9BE-4319-8F5B-53D2457A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33910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50</cp:revision>
  <cp:lastPrinted>2022-11-11T05:40:00Z</cp:lastPrinted>
  <dcterms:created xsi:type="dcterms:W3CDTF">2022-12-26T04:22:00Z</dcterms:created>
  <dcterms:modified xsi:type="dcterms:W3CDTF">2023-02-24T06:02:00Z</dcterms:modified>
</cp:coreProperties>
</file>